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ind w:firstLine="320" w:firstLineChars="100"/>
        <w:rPr>
          <w:rFonts w:ascii="仿宋" w:hAnsi="仿宋" w:eastAsia="仿宋"/>
          <w:sz w:val="32"/>
          <w:szCs w:val="32"/>
        </w:rPr>
      </w:pPr>
      <w:bookmarkStart w:id="0" w:name="_GoBack"/>
      <w:bookmarkEnd w:id="0"/>
      <w:r>
        <w:rPr>
          <w:rFonts w:hint="eastAsia" w:ascii="仿宋" w:hAnsi="仿宋" w:eastAsia="仿宋"/>
          <w:sz w:val="32"/>
          <w:szCs w:val="32"/>
        </w:rPr>
        <w:t>附件：废止、宣布失效目录</w:t>
      </w:r>
    </w:p>
    <w:tbl>
      <w:tblPr>
        <w:tblStyle w:val="8"/>
        <w:tblW w:w="875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9"/>
        <w:gridCol w:w="2126"/>
        <w:gridCol w:w="567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42" w:hRule="atLeast"/>
        </w:trPr>
        <w:tc>
          <w:tcPr>
            <w:tcW w:w="8755" w:type="dxa"/>
            <w:gridSpan w:val="3"/>
            <w:vAlign w:val="top"/>
          </w:tcPr>
          <w:p>
            <w:pPr>
              <w:jc w:val="center"/>
              <w:rPr>
                <w:rFonts w:ascii="仿宋" w:hAnsi="仿宋" w:eastAsia="仿宋"/>
                <w:sz w:val="32"/>
                <w:szCs w:val="32"/>
              </w:rPr>
            </w:pPr>
            <w:r>
              <w:rPr>
                <w:rFonts w:hint="eastAsia" w:ascii="仿宋" w:hAnsi="仿宋" w:eastAsia="仿宋"/>
                <w:sz w:val="32"/>
                <w:szCs w:val="32"/>
              </w:rPr>
              <w:t>废止文件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59" w:type="dxa"/>
            <w:vAlign w:val="top"/>
          </w:tcPr>
          <w:p>
            <w:pPr>
              <w:rPr>
                <w:rFonts w:ascii="仿宋" w:hAnsi="仿宋" w:eastAsia="仿宋"/>
                <w:sz w:val="32"/>
                <w:szCs w:val="32"/>
              </w:rPr>
            </w:pPr>
            <w:r>
              <w:rPr>
                <w:rFonts w:hint="eastAsia" w:ascii="仿宋" w:hAnsi="仿宋" w:eastAsia="仿宋"/>
                <w:sz w:val="32"/>
                <w:szCs w:val="32"/>
              </w:rPr>
              <w:t>序号</w:t>
            </w:r>
          </w:p>
        </w:tc>
        <w:tc>
          <w:tcPr>
            <w:tcW w:w="2126" w:type="dxa"/>
            <w:vAlign w:val="top"/>
          </w:tcPr>
          <w:p>
            <w:pPr>
              <w:rPr>
                <w:rFonts w:ascii="仿宋" w:hAnsi="仿宋" w:eastAsia="仿宋"/>
                <w:sz w:val="32"/>
                <w:szCs w:val="32"/>
              </w:rPr>
            </w:pPr>
            <w:r>
              <w:rPr>
                <w:rFonts w:hint="eastAsia" w:ascii="仿宋" w:hAnsi="仿宋" w:eastAsia="仿宋"/>
                <w:sz w:val="32"/>
                <w:szCs w:val="32"/>
              </w:rPr>
              <w:t>文号</w:t>
            </w:r>
          </w:p>
        </w:tc>
        <w:tc>
          <w:tcPr>
            <w:tcW w:w="5670" w:type="dxa"/>
            <w:vAlign w:val="top"/>
          </w:tcPr>
          <w:p>
            <w:pPr>
              <w:rPr>
                <w:rFonts w:ascii="仿宋" w:hAnsi="仿宋" w:eastAsia="仿宋"/>
                <w:sz w:val="32"/>
                <w:szCs w:val="32"/>
              </w:rPr>
            </w:pPr>
            <w:r>
              <w:rPr>
                <w:rFonts w:hint="eastAsia" w:ascii="仿宋" w:hAnsi="仿宋" w:eastAsia="仿宋"/>
                <w:sz w:val="32"/>
                <w:szCs w:val="32"/>
              </w:rPr>
              <w:t>标题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59" w:type="dxa"/>
            <w:vAlign w:val="center"/>
          </w:tcPr>
          <w:p>
            <w:pPr>
              <w:jc w:val="center"/>
              <w:rPr>
                <w:bCs/>
                <w:sz w:val="22"/>
              </w:rPr>
            </w:pPr>
            <w:r>
              <w:rPr>
                <w:rFonts w:hint="eastAsia"/>
                <w:bCs/>
                <w:sz w:val="22"/>
              </w:rPr>
              <w:t>1</w:t>
            </w:r>
          </w:p>
        </w:tc>
        <w:tc>
          <w:tcPr>
            <w:tcW w:w="2126" w:type="dxa"/>
            <w:vAlign w:val="top"/>
          </w:tcPr>
          <w:p>
            <w:pPr>
              <w:rPr>
                <w:rFonts w:ascii="宋体" w:hAnsi="宋体" w:eastAsia="宋体" w:cs="宋体"/>
                <w:bCs/>
                <w:sz w:val="22"/>
              </w:rPr>
            </w:pPr>
            <w:r>
              <w:rPr>
                <w:rFonts w:hint="eastAsia"/>
                <w:bCs/>
                <w:sz w:val="22"/>
              </w:rPr>
              <w:t>中建〔2003〕15号</w:t>
            </w:r>
          </w:p>
        </w:tc>
        <w:tc>
          <w:tcPr>
            <w:tcW w:w="5670" w:type="dxa"/>
            <w:vAlign w:val="top"/>
          </w:tcPr>
          <w:p>
            <w:pPr>
              <w:rPr>
                <w:rFonts w:ascii="仿宋" w:hAnsi="仿宋" w:eastAsia="仿宋"/>
                <w:sz w:val="32"/>
                <w:szCs w:val="32"/>
              </w:rPr>
            </w:pPr>
            <w:r>
              <w:rPr>
                <w:rFonts w:hint="eastAsia"/>
                <w:color w:val="000000"/>
                <w:sz w:val="22"/>
              </w:rPr>
              <w:t>关于明确项目监理机构组成的通知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59" w:type="dxa"/>
            <w:vAlign w:val="center"/>
          </w:tcPr>
          <w:p>
            <w:pPr>
              <w:jc w:val="center"/>
              <w:rPr>
                <w:bCs/>
                <w:sz w:val="22"/>
              </w:rPr>
            </w:pPr>
            <w:r>
              <w:rPr>
                <w:rFonts w:hint="eastAsia"/>
                <w:bCs/>
                <w:sz w:val="22"/>
              </w:rPr>
              <w:t>2</w:t>
            </w:r>
          </w:p>
        </w:tc>
        <w:tc>
          <w:tcPr>
            <w:tcW w:w="2126" w:type="dxa"/>
            <w:vAlign w:val="top"/>
          </w:tcPr>
          <w:p>
            <w:pPr>
              <w:rPr>
                <w:rFonts w:ascii="宋体" w:hAnsi="宋体" w:eastAsia="宋体" w:cs="宋体"/>
                <w:bCs/>
                <w:sz w:val="22"/>
              </w:rPr>
            </w:pPr>
            <w:r>
              <w:rPr>
                <w:rFonts w:hint="eastAsia"/>
                <w:bCs/>
                <w:sz w:val="22"/>
              </w:rPr>
              <w:t>中建〔2003〕23号</w:t>
            </w:r>
          </w:p>
        </w:tc>
        <w:tc>
          <w:tcPr>
            <w:tcW w:w="5670" w:type="dxa"/>
            <w:vAlign w:val="top"/>
          </w:tcPr>
          <w:p>
            <w:pPr>
              <w:rPr>
                <w:rFonts w:ascii="宋体" w:hAnsi="宋体" w:eastAsia="宋体" w:cs="宋体"/>
                <w:color w:val="000000"/>
                <w:sz w:val="22"/>
              </w:rPr>
            </w:pPr>
            <w:r>
              <w:rPr>
                <w:rFonts w:hint="eastAsia"/>
                <w:color w:val="000000"/>
                <w:sz w:val="22"/>
              </w:rPr>
              <w:t>《关于进一步加强我市桩机管理的通知》的补充通知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59" w:type="dxa"/>
            <w:vAlign w:val="center"/>
          </w:tcPr>
          <w:p>
            <w:pPr>
              <w:jc w:val="center"/>
              <w:rPr>
                <w:sz w:val="22"/>
              </w:rPr>
            </w:pPr>
            <w:r>
              <w:rPr>
                <w:rFonts w:hint="eastAsia"/>
                <w:sz w:val="22"/>
              </w:rPr>
              <w:t>3</w:t>
            </w:r>
          </w:p>
        </w:tc>
        <w:tc>
          <w:tcPr>
            <w:tcW w:w="2126" w:type="dxa"/>
            <w:vAlign w:val="top"/>
          </w:tcPr>
          <w:p>
            <w:pPr>
              <w:rPr>
                <w:rFonts w:ascii="宋体" w:hAnsi="宋体" w:eastAsia="宋体" w:cs="宋体"/>
                <w:sz w:val="22"/>
              </w:rPr>
            </w:pPr>
            <w:r>
              <w:rPr>
                <w:rFonts w:hint="eastAsia"/>
                <w:sz w:val="22"/>
              </w:rPr>
              <w:t>中建〔2003〕26号</w:t>
            </w:r>
          </w:p>
        </w:tc>
        <w:tc>
          <w:tcPr>
            <w:tcW w:w="5670" w:type="dxa"/>
            <w:vAlign w:val="top"/>
          </w:tcPr>
          <w:p>
            <w:pPr>
              <w:rPr>
                <w:rFonts w:ascii="宋体" w:hAnsi="宋体" w:eastAsia="宋体" w:cs="宋体"/>
                <w:color w:val="000000"/>
                <w:sz w:val="22"/>
              </w:rPr>
            </w:pPr>
            <w:r>
              <w:rPr>
                <w:rFonts w:hint="eastAsia"/>
                <w:color w:val="000000"/>
                <w:sz w:val="22"/>
              </w:rPr>
              <w:t>关于开展镇区建筑工程施工图纸设计文件审查的通知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59" w:type="dxa"/>
            <w:vAlign w:val="center"/>
          </w:tcPr>
          <w:p>
            <w:pPr>
              <w:jc w:val="center"/>
              <w:rPr>
                <w:sz w:val="22"/>
              </w:rPr>
            </w:pPr>
            <w:r>
              <w:rPr>
                <w:rFonts w:hint="eastAsia"/>
                <w:sz w:val="22"/>
              </w:rPr>
              <w:t>4</w:t>
            </w:r>
          </w:p>
        </w:tc>
        <w:tc>
          <w:tcPr>
            <w:tcW w:w="2126" w:type="dxa"/>
            <w:vAlign w:val="top"/>
          </w:tcPr>
          <w:p>
            <w:pPr>
              <w:rPr>
                <w:rFonts w:ascii="宋体" w:hAnsi="宋体" w:eastAsia="宋体" w:cs="宋体"/>
                <w:sz w:val="22"/>
              </w:rPr>
            </w:pPr>
            <w:r>
              <w:rPr>
                <w:rFonts w:hint="eastAsia"/>
                <w:sz w:val="22"/>
              </w:rPr>
              <w:t>中建〔2003〕29号</w:t>
            </w:r>
          </w:p>
        </w:tc>
        <w:tc>
          <w:tcPr>
            <w:tcW w:w="5670" w:type="dxa"/>
            <w:vAlign w:val="top"/>
          </w:tcPr>
          <w:p>
            <w:pPr>
              <w:rPr>
                <w:rFonts w:ascii="宋体" w:hAnsi="宋体" w:eastAsia="宋体" w:cs="宋体"/>
                <w:color w:val="000000"/>
                <w:sz w:val="22"/>
              </w:rPr>
            </w:pPr>
            <w:r>
              <w:rPr>
                <w:rFonts w:hint="eastAsia"/>
                <w:color w:val="000000"/>
                <w:sz w:val="22"/>
              </w:rPr>
              <w:t>关于在工业园区推行物业管理的通知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59" w:type="dxa"/>
            <w:vAlign w:val="center"/>
          </w:tcPr>
          <w:p>
            <w:pPr>
              <w:jc w:val="center"/>
              <w:rPr>
                <w:sz w:val="22"/>
              </w:rPr>
            </w:pPr>
            <w:r>
              <w:rPr>
                <w:rFonts w:hint="eastAsia"/>
                <w:sz w:val="22"/>
              </w:rPr>
              <w:t>5</w:t>
            </w:r>
          </w:p>
        </w:tc>
        <w:tc>
          <w:tcPr>
            <w:tcW w:w="2126" w:type="dxa"/>
            <w:vAlign w:val="top"/>
          </w:tcPr>
          <w:p>
            <w:pPr>
              <w:rPr>
                <w:rFonts w:ascii="宋体" w:hAnsi="宋体" w:eastAsia="宋体" w:cs="宋体"/>
                <w:sz w:val="22"/>
              </w:rPr>
            </w:pPr>
            <w:r>
              <w:rPr>
                <w:rFonts w:hint="eastAsia"/>
                <w:sz w:val="22"/>
              </w:rPr>
              <w:t>中建〔2003〕2号</w:t>
            </w:r>
          </w:p>
        </w:tc>
        <w:tc>
          <w:tcPr>
            <w:tcW w:w="5670" w:type="dxa"/>
            <w:vAlign w:val="top"/>
          </w:tcPr>
          <w:p>
            <w:pPr>
              <w:rPr>
                <w:rFonts w:ascii="宋体" w:hAnsi="宋体" w:eastAsia="宋体" w:cs="宋体"/>
                <w:color w:val="000000"/>
                <w:sz w:val="22"/>
              </w:rPr>
            </w:pPr>
            <w:r>
              <w:rPr>
                <w:rFonts w:hint="eastAsia"/>
                <w:color w:val="000000"/>
                <w:sz w:val="22"/>
              </w:rPr>
              <w:t>关于印发中山市村镇建筑管理规定的通知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59" w:type="dxa"/>
            <w:vAlign w:val="center"/>
          </w:tcPr>
          <w:p>
            <w:pPr>
              <w:jc w:val="center"/>
              <w:rPr>
                <w:sz w:val="22"/>
              </w:rPr>
            </w:pPr>
            <w:r>
              <w:rPr>
                <w:rFonts w:hint="eastAsia"/>
                <w:sz w:val="22"/>
              </w:rPr>
              <w:t>6</w:t>
            </w:r>
          </w:p>
        </w:tc>
        <w:tc>
          <w:tcPr>
            <w:tcW w:w="2126" w:type="dxa"/>
            <w:vAlign w:val="top"/>
          </w:tcPr>
          <w:p>
            <w:pPr>
              <w:rPr>
                <w:rFonts w:ascii="宋体" w:hAnsi="宋体" w:eastAsia="宋体" w:cs="宋体"/>
                <w:sz w:val="22"/>
              </w:rPr>
            </w:pPr>
            <w:r>
              <w:rPr>
                <w:rFonts w:hint="eastAsia"/>
                <w:sz w:val="22"/>
              </w:rPr>
              <w:t>中建〔2003〕64号</w:t>
            </w:r>
          </w:p>
        </w:tc>
        <w:tc>
          <w:tcPr>
            <w:tcW w:w="5670" w:type="dxa"/>
            <w:vAlign w:val="top"/>
          </w:tcPr>
          <w:p>
            <w:pPr>
              <w:rPr>
                <w:rFonts w:ascii="宋体" w:hAnsi="宋体" w:eastAsia="宋体" w:cs="宋体"/>
                <w:color w:val="000000"/>
                <w:sz w:val="22"/>
              </w:rPr>
            </w:pPr>
            <w:r>
              <w:rPr>
                <w:rFonts w:hint="eastAsia"/>
                <w:color w:val="000000"/>
                <w:sz w:val="22"/>
              </w:rPr>
              <w:t>关于进一步加强高支模施工安全管理的通知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59" w:type="dxa"/>
            <w:vAlign w:val="center"/>
          </w:tcPr>
          <w:p>
            <w:pPr>
              <w:jc w:val="center"/>
              <w:rPr>
                <w:sz w:val="22"/>
              </w:rPr>
            </w:pPr>
            <w:r>
              <w:rPr>
                <w:rFonts w:hint="eastAsia"/>
                <w:sz w:val="22"/>
              </w:rPr>
              <w:t>7</w:t>
            </w:r>
          </w:p>
        </w:tc>
        <w:tc>
          <w:tcPr>
            <w:tcW w:w="2126" w:type="dxa"/>
            <w:vAlign w:val="top"/>
          </w:tcPr>
          <w:p>
            <w:pPr>
              <w:rPr>
                <w:rFonts w:ascii="宋体" w:hAnsi="宋体" w:eastAsia="宋体" w:cs="宋体"/>
                <w:sz w:val="22"/>
              </w:rPr>
            </w:pPr>
            <w:r>
              <w:rPr>
                <w:rFonts w:hint="eastAsia"/>
                <w:sz w:val="22"/>
              </w:rPr>
              <w:t>中建〔2004〕20号</w:t>
            </w:r>
          </w:p>
        </w:tc>
        <w:tc>
          <w:tcPr>
            <w:tcW w:w="5670" w:type="dxa"/>
            <w:vAlign w:val="top"/>
          </w:tcPr>
          <w:p>
            <w:pPr>
              <w:rPr>
                <w:rFonts w:ascii="宋体" w:hAnsi="宋体" w:eastAsia="宋体" w:cs="宋体"/>
                <w:color w:val="000000"/>
                <w:sz w:val="22"/>
              </w:rPr>
            </w:pPr>
            <w:r>
              <w:rPr>
                <w:rFonts w:hint="eastAsia"/>
                <w:color w:val="000000"/>
                <w:sz w:val="22"/>
              </w:rPr>
              <w:t>关于印发《中山市建设工程施工现场管理办法》的通知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59" w:type="dxa"/>
            <w:vAlign w:val="center"/>
          </w:tcPr>
          <w:p>
            <w:pPr>
              <w:jc w:val="center"/>
              <w:rPr>
                <w:sz w:val="22"/>
              </w:rPr>
            </w:pPr>
            <w:r>
              <w:rPr>
                <w:rFonts w:hint="eastAsia"/>
                <w:sz w:val="22"/>
              </w:rPr>
              <w:t>8</w:t>
            </w:r>
          </w:p>
        </w:tc>
        <w:tc>
          <w:tcPr>
            <w:tcW w:w="2126" w:type="dxa"/>
            <w:vAlign w:val="top"/>
          </w:tcPr>
          <w:p>
            <w:pPr>
              <w:rPr>
                <w:rFonts w:ascii="宋体" w:hAnsi="宋体" w:eastAsia="宋体" w:cs="宋体"/>
                <w:sz w:val="22"/>
              </w:rPr>
            </w:pPr>
            <w:r>
              <w:rPr>
                <w:rFonts w:hint="eastAsia"/>
                <w:sz w:val="22"/>
              </w:rPr>
              <w:t>中建〔2004〕5号</w:t>
            </w:r>
          </w:p>
        </w:tc>
        <w:tc>
          <w:tcPr>
            <w:tcW w:w="5670" w:type="dxa"/>
            <w:vAlign w:val="top"/>
          </w:tcPr>
          <w:p>
            <w:pPr>
              <w:rPr>
                <w:rFonts w:ascii="宋体" w:hAnsi="宋体" w:eastAsia="宋体" w:cs="宋体"/>
                <w:color w:val="000000"/>
                <w:sz w:val="22"/>
              </w:rPr>
            </w:pPr>
            <w:r>
              <w:rPr>
                <w:rFonts w:hint="eastAsia"/>
                <w:color w:val="000000"/>
                <w:sz w:val="22"/>
              </w:rPr>
              <w:t>关于实行专项工程前期核查等安全生产管理措施的通知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59" w:type="dxa"/>
            <w:vAlign w:val="center"/>
          </w:tcPr>
          <w:p>
            <w:pPr>
              <w:jc w:val="center"/>
              <w:rPr>
                <w:sz w:val="22"/>
              </w:rPr>
            </w:pPr>
            <w:r>
              <w:rPr>
                <w:rFonts w:hint="eastAsia"/>
                <w:sz w:val="22"/>
              </w:rPr>
              <w:t>9</w:t>
            </w:r>
          </w:p>
        </w:tc>
        <w:tc>
          <w:tcPr>
            <w:tcW w:w="2126" w:type="dxa"/>
            <w:vAlign w:val="top"/>
          </w:tcPr>
          <w:p>
            <w:pPr>
              <w:rPr>
                <w:rFonts w:ascii="宋体" w:hAnsi="宋体" w:eastAsia="宋体" w:cs="宋体"/>
                <w:sz w:val="22"/>
              </w:rPr>
            </w:pPr>
            <w:r>
              <w:rPr>
                <w:rFonts w:hint="eastAsia"/>
                <w:sz w:val="22"/>
              </w:rPr>
              <w:t>中建〔2005〕11号</w:t>
            </w:r>
          </w:p>
        </w:tc>
        <w:tc>
          <w:tcPr>
            <w:tcW w:w="5670" w:type="dxa"/>
            <w:vAlign w:val="top"/>
          </w:tcPr>
          <w:p>
            <w:pPr>
              <w:rPr>
                <w:rFonts w:ascii="宋体" w:hAnsi="宋体" w:eastAsia="宋体" w:cs="宋体"/>
                <w:color w:val="000000"/>
                <w:sz w:val="22"/>
              </w:rPr>
            </w:pPr>
            <w:r>
              <w:rPr>
                <w:rFonts w:hint="eastAsia"/>
                <w:color w:val="000000"/>
                <w:sz w:val="22"/>
              </w:rPr>
              <w:t>关于印发《中山市民用建筑工程室内环境质量管理规定》的通知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59" w:type="dxa"/>
            <w:vAlign w:val="center"/>
          </w:tcPr>
          <w:p>
            <w:pPr>
              <w:jc w:val="center"/>
              <w:rPr>
                <w:sz w:val="22"/>
              </w:rPr>
            </w:pPr>
            <w:r>
              <w:rPr>
                <w:rFonts w:hint="eastAsia"/>
                <w:sz w:val="22"/>
              </w:rPr>
              <w:t>10</w:t>
            </w:r>
          </w:p>
        </w:tc>
        <w:tc>
          <w:tcPr>
            <w:tcW w:w="2126" w:type="dxa"/>
            <w:vAlign w:val="top"/>
          </w:tcPr>
          <w:p>
            <w:pPr>
              <w:rPr>
                <w:rFonts w:ascii="宋体" w:hAnsi="宋体" w:eastAsia="宋体" w:cs="宋体"/>
                <w:sz w:val="22"/>
              </w:rPr>
            </w:pPr>
            <w:r>
              <w:rPr>
                <w:rFonts w:hint="eastAsia"/>
                <w:sz w:val="22"/>
              </w:rPr>
              <w:t>中建〔2005〕20号</w:t>
            </w:r>
          </w:p>
        </w:tc>
        <w:tc>
          <w:tcPr>
            <w:tcW w:w="5670" w:type="dxa"/>
            <w:vAlign w:val="top"/>
          </w:tcPr>
          <w:p>
            <w:pPr>
              <w:rPr>
                <w:rFonts w:ascii="宋体" w:hAnsi="宋体" w:eastAsia="宋体" w:cs="宋体"/>
                <w:color w:val="000000"/>
                <w:sz w:val="22"/>
              </w:rPr>
            </w:pPr>
            <w:r>
              <w:rPr>
                <w:rFonts w:hint="eastAsia"/>
                <w:color w:val="000000"/>
                <w:sz w:val="22"/>
              </w:rPr>
              <w:t>关于加强我市建设工程勘查市场管理的通知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59" w:type="dxa"/>
            <w:vAlign w:val="center"/>
          </w:tcPr>
          <w:p>
            <w:pPr>
              <w:jc w:val="center"/>
              <w:rPr>
                <w:sz w:val="22"/>
              </w:rPr>
            </w:pPr>
            <w:r>
              <w:rPr>
                <w:rFonts w:hint="eastAsia"/>
                <w:sz w:val="22"/>
              </w:rPr>
              <w:t>11</w:t>
            </w:r>
          </w:p>
        </w:tc>
        <w:tc>
          <w:tcPr>
            <w:tcW w:w="2126" w:type="dxa"/>
            <w:vAlign w:val="top"/>
          </w:tcPr>
          <w:p>
            <w:pPr>
              <w:rPr>
                <w:rFonts w:ascii="宋体" w:hAnsi="宋体" w:eastAsia="宋体" w:cs="宋体"/>
                <w:sz w:val="22"/>
              </w:rPr>
            </w:pPr>
            <w:r>
              <w:rPr>
                <w:rFonts w:hint="eastAsia"/>
                <w:sz w:val="22"/>
              </w:rPr>
              <w:t>中建〔2005〕25号</w:t>
            </w:r>
          </w:p>
        </w:tc>
        <w:tc>
          <w:tcPr>
            <w:tcW w:w="5670" w:type="dxa"/>
            <w:vAlign w:val="top"/>
          </w:tcPr>
          <w:p>
            <w:pPr>
              <w:rPr>
                <w:rFonts w:ascii="宋体" w:hAnsi="宋体" w:eastAsia="宋体" w:cs="宋体"/>
                <w:color w:val="000000"/>
                <w:sz w:val="22"/>
              </w:rPr>
            </w:pPr>
            <w:r>
              <w:rPr>
                <w:rFonts w:hint="eastAsia"/>
                <w:color w:val="000000"/>
                <w:sz w:val="22"/>
              </w:rPr>
              <w:t>关于加强中山市建筑工程结构实体质量抽样检测工作的通知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59" w:type="dxa"/>
            <w:vAlign w:val="center"/>
          </w:tcPr>
          <w:p>
            <w:pPr>
              <w:jc w:val="center"/>
              <w:rPr>
                <w:sz w:val="22"/>
              </w:rPr>
            </w:pPr>
            <w:r>
              <w:rPr>
                <w:rFonts w:hint="eastAsia"/>
                <w:sz w:val="22"/>
              </w:rPr>
              <w:t>12</w:t>
            </w:r>
          </w:p>
        </w:tc>
        <w:tc>
          <w:tcPr>
            <w:tcW w:w="2126" w:type="dxa"/>
            <w:vAlign w:val="top"/>
          </w:tcPr>
          <w:p>
            <w:pPr>
              <w:rPr>
                <w:rFonts w:ascii="宋体" w:hAnsi="宋体" w:eastAsia="宋体" w:cs="宋体"/>
                <w:sz w:val="22"/>
              </w:rPr>
            </w:pPr>
            <w:r>
              <w:rPr>
                <w:rFonts w:hint="eastAsia"/>
                <w:sz w:val="22"/>
              </w:rPr>
              <w:t>中建〔2005〕26号</w:t>
            </w:r>
          </w:p>
        </w:tc>
        <w:tc>
          <w:tcPr>
            <w:tcW w:w="5670" w:type="dxa"/>
            <w:vAlign w:val="top"/>
          </w:tcPr>
          <w:p>
            <w:pPr>
              <w:rPr>
                <w:rFonts w:ascii="宋体" w:hAnsi="宋体" w:eastAsia="宋体" w:cs="宋体"/>
                <w:color w:val="000000"/>
                <w:sz w:val="22"/>
              </w:rPr>
            </w:pPr>
            <w:r>
              <w:rPr>
                <w:rFonts w:hint="eastAsia"/>
                <w:color w:val="000000"/>
                <w:sz w:val="22"/>
              </w:rPr>
              <w:t>关于加强设计使用新型墙材材料管理措施的意见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59" w:type="dxa"/>
            <w:vAlign w:val="center"/>
          </w:tcPr>
          <w:p>
            <w:pPr>
              <w:jc w:val="center"/>
              <w:rPr>
                <w:sz w:val="22"/>
              </w:rPr>
            </w:pPr>
            <w:r>
              <w:rPr>
                <w:rFonts w:hint="eastAsia"/>
                <w:sz w:val="22"/>
              </w:rPr>
              <w:t>13</w:t>
            </w:r>
          </w:p>
        </w:tc>
        <w:tc>
          <w:tcPr>
            <w:tcW w:w="2126" w:type="dxa"/>
            <w:vAlign w:val="top"/>
          </w:tcPr>
          <w:p>
            <w:pPr>
              <w:rPr>
                <w:rFonts w:ascii="宋体" w:hAnsi="宋体" w:eastAsia="宋体" w:cs="宋体"/>
                <w:sz w:val="22"/>
              </w:rPr>
            </w:pPr>
            <w:r>
              <w:rPr>
                <w:rFonts w:hint="eastAsia"/>
                <w:sz w:val="22"/>
              </w:rPr>
              <w:t>中建〔2005〕31号</w:t>
            </w:r>
          </w:p>
        </w:tc>
        <w:tc>
          <w:tcPr>
            <w:tcW w:w="5670" w:type="dxa"/>
            <w:vAlign w:val="top"/>
          </w:tcPr>
          <w:p>
            <w:pPr>
              <w:rPr>
                <w:rFonts w:ascii="宋体" w:hAnsi="宋体" w:eastAsia="宋体" w:cs="宋体"/>
                <w:color w:val="000000"/>
                <w:sz w:val="22"/>
              </w:rPr>
            </w:pPr>
            <w:r>
              <w:rPr>
                <w:rFonts w:hint="eastAsia"/>
                <w:color w:val="000000"/>
                <w:sz w:val="22"/>
              </w:rPr>
              <w:t>关于加强我市建设工程质量检测工作的通知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59" w:type="dxa"/>
            <w:vAlign w:val="center"/>
          </w:tcPr>
          <w:p>
            <w:pPr>
              <w:jc w:val="center"/>
              <w:rPr>
                <w:sz w:val="22"/>
              </w:rPr>
            </w:pPr>
            <w:r>
              <w:rPr>
                <w:rFonts w:hint="eastAsia"/>
                <w:sz w:val="22"/>
              </w:rPr>
              <w:t>14</w:t>
            </w:r>
          </w:p>
        </w:tc>
        <w:tc>
          <w:tcPr>
            <w:tcW w:w="2126" w:type="dxa"/>
            <w:vAlign w:val="top"/>
          </w:tcPr>
          <w:p>
            <w:pPr>
              <w:rPr>
                <w:rFonts w:ascii="宋体" w:hAnsi="宋体" w:eastAsia="宋体" w:cs="宋体"/>
                <w:sz w:val="22"/>
              </w:rPr>
            </w:pPr>
            <w:r>
              <w:rPr>
                <w:rFonts w:hint="eastAsia"/>
                <w:sz w:val="22"/>
              </w:rPr>
              <w:t>中建〔2005〕62号</w:t>
            </w:r>
          </w:p>
        </w:tc>
        <w:tc>
          <w:tcPr>
            <w:tcW w:w="5670" w:type="dxa"/>
            <w:vAlign w:val="top"/>
          </w:tcPr>
          <w:p>
            <w:pPr>
              <w:rPr>
                <w:rFonts w:ascii="宋体" w:hAnsi="宋体" w:eastAsia="宋体" w:cs="宋体"/>
                <w:color w:val="000000"/>
                <w:sz w:val="22"/>
              </w:rPr>
            </w:pPr>
            <w:r>
              <w:rPr>
                <w:rFonts w:hint="eastAsia"/>
                <w:color w:val="000000"/>
                <w:sz w:val="22"/>
              </w:rPr>
              <w:t>关于实行物料提升机检测的通知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59" w:type="dxa"/>
            <w:vAlign w:val="center"/>
          </w:tcPr>
          <w:p>
            <w:pPr>
              <w:jc w:val="center"/>
              <w:rPr>
                <w:sz w:val="22"/>
              </w:rPr>
            </w:pPr>
            <w:r>
              <w:rPr>
                <w:rFonts w:hint="eastAsia"/>
                <w:sz w:val="22"/>
              </w:rPr>
              <w:t>15</w:t>
            </w:r>
          </w:p>
        </w:tc>
        <w:tc>
          <w:tcPr>
            <w:tcW w:w="2126" w:type="dxa"/>
            <w:vAlign w:val="top"/>
          </w:tcPr>
          <w:p>
            <w:pPr>
              <w:rPr>
                <w:rFonts w:ascii="宋体" w:hAnsi="宋体" w:eastAsia="宋体" w:cs="宋体"/>
                <w:sz w:val="22"/>
              </w:rPr>
            </w:pPr>
            <w:r>
              <w:rPr>
                <w:rFonts w:hint="eastAsia"/>
                <w:sz w:val="22"/>
              </w:rPr>
              <w:t>中建〔2005〕7号</w:t>
            </w:r>
          </w:p>
        </w:tc>
        <w:tc>
          <w:tcPr>
            <w:tcW w:w="5670" w:type="dxa"/>
            <w:vAlign w:val="top"/>
          </w:tcPr>
          <w:p>
            <w:pPr>
              <w:rPr>
                <w:rFonts w:ascii="宋体" w:hAnsi="宋体" w:eastAsia="宋体" w:cs="宋体"/>
                <w:color w:val="000000"/>
                <w:sz w:val="22"/>
              </w:rPr>
            </w:pPr>
            <w:r>
              <w:rPr>
                <w:rFonts w:hint="eastAsia"/>
                <w:color w:val="000000"/>
                <w:sz w:val="22"/>
              </w:rPr>
              <w:t>关于对中山市房地产开发等项目实施工程建设合同担保制度的通知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59" w:type="dxa"/>
            <w:vAlign w:val="center"/>
          </w:tcPr>
          <w:p>
            <w:pPr>
              <w:jc w:val="center"/>
              <w:rPr>
                <w:sz w:val="22"/>
              </w:rPr>
            </w:pPr>
            <w:r>
              <w:rPr>
                <w:rFonts w:hint="eastAsia"/>
                <w:sz w:val="22"/>
              </w:rPr>
              <w:t>16</w:t>
            </w:r>
          </w:p>
        </w:tc>
        <w:tc>
          <w:tcPr>
            <w:tcW w:w="2126" w:type="dxa"/>
            <w:vAlign w:val="top"/>
          </w:tcPr>
          <w:p>
            <w:pPr>
              <w:rPr>
                <w:rFonts w:ascii="宋体" w:hAnsi="宋体" w:eastAsia="宋体" w:cs="宋体"/>
                <w:sz w:val="22"/>
              </w:rPr>
            </w:pPr>
            <w:r>
              <w:rPr>
                <w:rFonts w:hint="eastAsia"/>
                <w:sz w:val="22"/>
              </w:rPr>
              <w:t>中建〔2005〕8号</w:t>
            </w:r>
          </w:p>
        </w:tc>
        <w:tc>
          <w:tcPr>
            <w:tcW w:w="5670" w:type="dxa"/>
            <w:vAlign w:val="top"/>
          </w:tcPr>
          <w:p>
            <w:pPr>
              <w:rPr>
                <w:rFonts w:ascii="宋体" w:hAnsi="宋体" w:eastAsia="宋体" w:cs="宋体"/>
                <w:color w:val="000000"/>
                <w:sz w:val="22"/>
              </w:rPr>
            </w:pPr>
            <w:r>
              <w:rPr>
                <w:rFonts w:hint="eastAsia"/>
                <w:color w:val="000000"/>
                <w:sz w:val="22"/>
              </w:rPr>
              <w:t>关于对2004年两次监理检查评分优秀的监理企业给予奖励的通报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59" w:type="dxa"/>
            <w:vAlign w:val="center"/>
          </w:tcPr>
          <w:p>
            <w:pPr>
              <w:jc w:val="center"/>
              <w:rPr>
                <w:sz w:val="22"/>
              </w:rPr>
            </w:pPr>
            <w:r>
              <w:rPr>
                <w:rFonts w:hint="eastAsia"/>
                <w:sz w:val="22"/>
              </w:rPr>
              <w:t>17</w:t>
            </w:r>
          </w:p>
        </w:tc>
        <w:tc>
          <w:tcPr>
            <w:tcW w:w="2126" w:type="dxa"/>
            <w:vAlign w:val="top"/>
          </w:tcPr>
          <w:p>
            <w:pPr>
              <w:rPr>
                <w:rFonts w:ascii="宋体" w:hAnsi="宋体" w:eastAsia="宋体" w:cs="宋体"/>
                <w:sz w:val="22"/>
              </w:rPr>
            </w:pPr>
            <w:r>
              <w:rPr>
                <w:rFonts w:hint="eastAsia"/>
                <w:sz w:val="22"/>
              </w:rPr>
              <w:t>中建〔2006〕49号</w:t>
            </w:r>
          </w:p>
        </w:tc>
        <w:tc>
          <w:tcPr>
            <w:tcW w:w="5670" w:type="dxa"/>
            <w:vAlign w:val="top"/>
          </w:tcPr>
          <w:p>
            <w:pPr>
              <w:rPr>
                <w:rFonts w:ascii="宋体" w:hAnsi="宋体" w:eastAsia="宋体" w:cs="宋体"/>
                <w:color w:val="000000"/>
                <w:sz w:val="22"/>
              </w:rPr>
            </w:pPr>
            <w:r>
              <w:rPr>
                <w:rFonts w:hint="eastAsia"/>
                <w:color w:val="000000"/>
                <w:sz w:val="22"/>
              </w:rPr>
              <w:t>关于推行建设工程质量安全监理工作报告制度的通知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59" w:type="dxa"/>
            <w:vAlign w:val="center"/>
          </w:tcPr>
          <w:p>
            <w:pPr>
              <w:jc w:val="center"/>
              <w:rPr>
                <w:sz w:val="22"/>
              </w:rPr>
            </w:pPr>
            <w:r>
              <w:rPr>
                <w:rFonts w:hint="eastAsia"/>
                <w:sz w:val="22"/>
              </w:rPr>
              <w:t>18</w:t>
            </w:r>
          </w:p>
        </w:tc>
        <w:tc>
          <w:tcPr>
            <w:tcW w:w="2126" w:type="dxa"/>
            <w:vAlign w:val="top"/>
          </w:tcPr>
          <w:p>
            <w:pPr>
              <w:rPr>
                <w:rFonts w:ascii="宋体" w:hAnsi="宋体" w:eastAsia="宋体" w:cs="宋体"/>
                <w:sz w:val="22"/>
              </w:rPr>
            </w:pPr>
            <w:r>
              <w:rPr>
                <w:rFonts w:hint="eastAsia"/>
                <w:sz w:val="22"/>
              </w:rPr>
              <w:t>中建〔2010〕44号</w:t>
            </w:r>
          </w:p>
        </w:tc>
        <w:tc>
          <w:tcPr>
            <w:tcW w:w="5670" w:type="dxa"/>
            <w:vAlign w:val="top"/>
          </w:tcPr>
          <w:p>
            <w:pPr>
              <w:rPr>
                <w:rFonts w:ascii="宋体" w:hAnsi="宋体" w:eastAsia="宋体" w:cs="宋体"/>
                <w:color w:val="000000"/>
                <w:sz w:val="22"/>
              </w:rPr>
            </w:pPr>
            <w:r>
              <w:rPr>
                <w:rFonts w:hint="eastAsia"/>
                <w:color w:val="000000"/>
                <w:sz w:val="22"/>
              </w:rPr>
              <w:t>关于印发《中山市无障碍设施建设管理暂行规定》的通知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59" w:type="dxa"/>
            <w:vAlign w:val="center"/>
          </w:tcPr>
          <w:p>
            <w:pPr>
              <w:jc w:val="center"/>
              <w:rPr>
                <w:sz w:val="22"/>
              </w:rPr>
            </w:pPr>
            <w:r>
              <w:rPr>
                <w:rFonts w:hint="eastAsia"/>
                <w:sz w:val="22"/>
              </w:rPr>
              <w:t>19</w:t>
            </w:r>
          </w:p>
        </w:tc>
        <w:tc>
          <w:tcPr>
            <w:tcW w:w="2126" w:type="dxa"/>
            <w:vAlign w:val="top"/>
          </w:tcPr>
          <w:p>
            <w:pPr>
              <w:rPr>
                <w:rFonts w:ascii="宋体" w:hAnsi="宋体" w:eastAsia="宋体" w:cs="宋体"/>
                <w:sz w:val="22"/>
              </w:rPr>
            </w:pPr>
            <w:r>
              <w:rPr>
                <w:rFonts w:hint="eastAsia"/>
                <w:sz w:val="22"/>
              </w:rPr>
              <w:t>中建〔2005〕34号</w:t>
            </w:r>
          </w:p>
        </w:tc>
        <w:tc>
          <w:tcPr>
            <w:tcW w:w="5670" w:type="dxa"/>
            <w:vAlign w:val="top"/>
          </w:tcPr>
          <w:p>
            <w:pPr>
              <w:rPr>
                <w:rFonts w:ascii="宋体" w:hAnsi="宋体" w:eastAsia="宋体" w:cs="宋体"/>
                <w:color w:val="000000"/>
                <w:sz w:val="22"/>
              </w:rPr>
            </w:pPr>
            <w:r>
              <w:rPr>
                <w:rFonts w:hint="eastAsia"/>
                <w:color w:val="000000"/>
                <w:sz w:val="22"/>
              </w:rPr>
              <w:t>关于印发《中山市公用设施改造旧物回收利用管理规程》的通知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59" w:type="dxa"/>
            <w:vAlign w:val="center"/>
          </w:tcPr>
          <w:p>
            <w:pPr>
              <w:jc w:val="center"/>
              <w:rPr>
                <w:sz w:val="22"/>
              </w:rPr>
            </w:pPr>
            <w:r>
              <w:rPr>
                <w:rFonts w:hint="eastAsia"/>
                <w:sz w:val="22"/>
              </w:rPr>
              <w:t>20</w:t>
            </w:r>
          </w:p>
        </w:tc>
        <w:tc>
          <w:tcPr>
            <w:tcW w:w="2126" w:type="dxa"/>
            <w:vAlign w:val="top"/>
          </w:tcPr>
          <w:p>
            <w:pPr>
              <w:rPr>
                <w:rFonts w:ascii="宋体" w:hAnsi="宋体" w:eastAsia="宋体" w:cs="宋体"/>
                <w:sz w:val="22"/>
              </w:rPr>
            </w:pPr>
            <w:r>
              <w:rPr>
                <w:rFonts w:hint="eastAsia"/>
                <w:sz w:val="22"/>
              </w:rPr>
              <w:t>中建通〔2007〕53号</w:t>
            </w:r>
          </w:p>
        </w:tc>
        <w:tc>
          <w:tcPr>
            <w:tcW w:w="5670" w:type="dxa"/>
            <w:vAlign w:val="top"/>
          </w:tcPr>
          <w:p>
            <w:pPr>
              <w:rPr>
                <w:rFonts w:ascii="宋体" w:hAnsi="宋体" w:eastAsia="宋体" w:cs="宋体"/>
                <w:color w:val="000000"/>
                <w:sz w:val="22"/>
              </w:rPr>
            </w:pPr>
            <w:r>
              <w:rPr>
                <w:rFonts w:hint="eastAsia"/>
                <w:color w:val="000000"/>
                <w:sz w:val="22"/>
              </w:rPr>
              <w:t>关于进一步加强我市建筑施工起重机械安全管理的通知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59" w:type="dxa"/>
            <w:vAlign w:val="center"/>
          </w:tcPr>
          <w:p>
            <w:pPr>
              <w:jc w:val="center"/>
              <w:rPr>
                <w:sz w:val="22"/>
              </w:rPr>
            </w:pPr>
            <w:r>
              <w:rPr>
                <w:rFonts w:hint="eastAsia"/>
                <w:sz w:val="22"/>
              </w:rPr>
              <w:t>21</w:t>
            </w:r>
          </w:p>
        </w:tc>
        <w:tc>
          <w:tcPr>
            <w:tcW w:w="2126" w:type="dxa"/>
            <w:vAlign w:val="top"/>
          </w:tcPr>
          <w:p>
            <w:pPr>
              <w:rPr>
                <w:rFonts w:ascii="宋体" w:hAnsi="宋体" w:eastAsia="宋体" w:cs="宋体"/>
                <w:sz w:val="22"/>
              </w:rPr>
            </w:pPr>
            <w:r>
              <w:rPr>
                <w:rFonts w:hint="eastAsia"/>
                <w:sz w:val="22"/>
              </w:rPr>
              <w:t>中建通〔2008〕32号</w:t>
            </w:r>
          </w:p>
        </w:tc>
        <w:tc>
          <w:tcPr>
            <w:tcW w:w="5670" w:type="dxa"/>
            <w:vAlign w:val="top"/>
          </w:tcPr>
          <w:p>
            <w:pPr>
              <w:rPr>
                <w:rFonts w:ascii="宋体" w:hAnsi="宋体" w:eastAsia="宋体" w:cs="宋体"/>
                <w:color w:val="000000"/>
                <w:sz w:val="22"/>
              </w:rPr>
            </w:pPr>
            <w:r>
              <w:rPr>
                <w:rFonts w:hint="eastAsia"/>
                <w:color w:val="000000"/>
                <w:sz w:val="22"/>
              </w:rPr>
              <w:t>关于进一步规范我市桩机管理的通知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59" w:type="dxa"/>
            <w:vAlign w:val="center"/>
          </w:tcPr>
          <w:p>
            <w:pPr>
              <w:jc w:val="center"/>
              <w:rPr>
                <w:sz w:val="22"/>
              </w:rPr>
            </w:pPr>
            <w:r>
              <w:rPr>
                <w:rFonts w:hint="eastAsia"/>
                <w:sz w:val="22"/>
              </w:rPr>
              <w:t>22</w:t>
            </w:r>
          </w:p>
        </w:tc>
        <w:tc>
          <w:tcPr>
            <w:tcW w:w="2126" w:type="dxa"/>
            <w:vAlign w:val="top"/>
          </w:tcPr>
          <w:p>
            <w:pPr>
              <w:rPr>
                <w:rFonts w:ascii="宋体" w:hAnsi="宋体" w:eastAsia="宋体" w:cs="宋体"/>
                <w:sz w:val="22"/>
              </w:rPr>
            </w:pPr>
            <w:r>
              <w:rPr>
                <w:rFonts w:hint="eastAsia"/>
                <w:sz w:val="22"/>
              </w:rPr>
              <w:t>中建通〔2010〕25号</w:t>
            </w:r>
          </w:p>
        </w:tc>
        <w:tc>
          <w:tcPr>
            <w:tcW w:w="5670" w:type="dxa"/>
            <w:vAlign w:val="top"/>
          </w:tcPr>
          <w:p>
            <w:pPr>
              <w:rPr>
                <w:rFonts w:ascii="宋体" w:hAnsi="宋体" w:eastAsia="宋体" w:cs="宋体"/>
                <w:color w:val="000000"/>
                <w:sz w:val="22"/>
              </w:rPr>
            </w:pPr>
            <w:r>
              <w:rPr>
                <w:rFonts w:hint="eastAsia"/>
                <w:color w:val="000000"/>
                <w:sz w:val="22"/>
              </w:rPr>
              <w:t>关于加强我市住宅专项维修资金管理和使用的补充通知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59" w:type="dxa"/>
            <w:vAlign w:val="center"/>
          </w:tcPr>
          <w:p>
            <w:pPr>
              <w:jc w:val="center"/>
              <w:rPr>
                <w:sz w:val="22"/>
              </w:rPr>
            </w:pPr>
            <w:r>
              <w:rPr>
                <w:rFonts w:hint="eastAsia"/>
                <w:sz w:val="22"/>
              </w:rPr>
              <w:t>23</w:t>
            </w:r>
          </w:p>
        </w:tc>
        <w:tc>
          <w:tcPr>
            <w:tcW w:w="2126" w:type="dxa"/>
            <w:vAlign w:val="top"/>
          </w:tcPr>
          <w:p>
            <w:pPr>
              <w:rPr>
                <w:rFonts w:ascii="宋体" w:hAnsi="宋体" w:eastAsia="宋体" w:cs="宋体"/>
                <w:sz w:val="22"/>
              </w:rPr>
            </w:pPr>
            <w:r>
              <w:rPr>
                <w:rFonts w:hint="eastAsia"/>
                <w:sz w:val="22"/>
              </w:rPr>
              <w:t>中建通〔2010〕55号</w:t>
            </w:r>
          </w:p>
        </w:tc>
        <w:tc>
          <w:tcPr>
            <w:tcW w:w="5670" w:type="dxa"/>
            <w:vAlign w:val="top"/>
          </w:tcPr>
          <w:p>
            <w:pPr>
              <w:rPr>
                <w:rFonts w:ascii="宋体" w:hAnsi="宋体" w:eastAsia="宋体" w:cs="宋体"/>
                <w:color w:val="000000"/>
                <w:sz w:val="22"/>
              </w:rPr>
            </w:pPr>
            <w:r>
              <w:rPr>
                <w:rFonts w:hint="eastAsia"/>
                <w:color w:val="000000"/>
                <w:sz w:val="22"/>
              </w:rPr>
              <w:t>关于限制使用实心砖有关问题的通知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59" w:type="dxa"/>
            <w:vAlign w:val="center"/>
          </w:tcPr>
          <w:p>
            <w:pPr>
              <w:jc w:val="center"/>
              <w:rPr>
                <w:sz w:val="22"/>
              </w:rPr>
            </w:pPr>
            <w:r>
              <w:rPr>
                <w:rFonts w:hint="eastAsia"/>
                <w:sz w:val="22"/>
              </w:rPr>
              <w:t>24</w:t>
            </w:r>
          </w:p>
        </w:tc>
        <w:tc>
          <w:tcPr>
            <w:tcW w:w="2126" w:type="dxa"/>
            <w:vAlign w:val="top"/>
          </w:tcPr>
          <w:p>
            <w:pPr>
              <w:rPr>
                <w:rFonts w:ascii="宋体" w:hAnsi="宋体" w:eastAsia="宋体" w:cs="宋体"/>
                <w:sz w:val="22"/>
              </w:rPr>
            </w:pPr>
            <w:r>
              <w:rPr>
                <w:rFonts w:hint="eastAsia"/>
                <w:sz w:val="22"/>
              </w:rPr>
              <w:t>中建通〔2011〕18号</w:t>
            </w:r>
          </w:p>
        </w:tc>
        <w:tc>
          <w:tcPr>
            <w:tcW w:w="5670" w:type="dxa"/>
            <w:vAlign w:val="top"/>
          </w:tcPr>
          <w:p>
            <w:pPr>
              <w:rPr>
                <w:rFonts w:ascii="宋体" w:hAnsi="宋体" w:eastAsia="宋体" w:cs="宋体"/>
                <w:color w:val="000000"/>
                <w:sz w:val="22"/>
              </w:rPr>
            </w:pPr>
            <w:r>
              <w:rPr>
                <w:rFonts w:hint="eastAsia"/>
                <w:color w:val="000000"/>
                <w:sz w:val="22"/>
              </w:rPr>
              <w:t>关于加强全市住宅专项维修资金管理的通知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59" w:type="dxa"/>
            <w:vAlign w:val="center"/>
          </w:tcPr>
          <w:p>
            <w:pPr>
              <w:jc w:val="center"/>
              <w:rPr>
                <w:sz w:val="22"/>
              </w:rPr>
            </w:pPr>
            <w:r>
              <w:rPr>
                <w:rFonts w:hint="eastAsia"/>
                <w:sz w:val="22"/>
              </w:rPr>
              <w:t>25</w:t>
            </w:r>
          </w:p>
        </w:tc>
        <w:tc>
          <w:tcPr>
            <w:tcW w:w="2126" w:type="dxa"/>
            <w:vAlign w:val="top"/>
          </w:tcPr>
          <w:p>
            <w:pPr>
              <w:rPr>
                <w:rFonts w:ascii="宋体" w:hAnsi="宋体" w:eastAsia="宋体" w:cs="宋体"/>
                <w:sz w:val="22"/>
              </w:rPr>
            </w:pPr>
            <w:r>
              <w:rPr>
                <w:rFonts w:hint="eastAsia"/>
                <w:sz w:val="22"/>
              </w:rPr>
              <w:t>中建通〔2011〕51号</w:t>
            </w:r>
          </w:p>
        </w:tc>
        <w:tc>
          <w:tcPr>
            <w:tcW w:w="5670" w:type="dxa"/>
            <w:vAlign w:val="top"/>
          </w:tcPr>
          <w:p>
            <w:pPr>
              <w:rPr>
                <w:rFonts w:ascii="宋体" w:hAnsi="宋体" w:eastAsia="宋体" w:cs="宋体"/>
                <w:color w:val="000000"/>
                <w:sz w:val="22"/>
              </w:rPr>
            </w:pPr>
            <w:r>
              <w:rPr>
                <w:rFonts w:hint="eastAsia"/>
                <w:color w:val="000000"/>
                <w:sz w:val="22"/>
              </w:rPr>
              <w:t>关于进一步加强市外勘察设计单位进入我市经营管理的通知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59" w:type="dxa"/>
            <w:vAlign w:val="center"/>
          </w:tcPr>
          <w:p>
            <w:pPr>
              <w:jc w:val="center"/>
              <w:rPr>
                <w:sz w:val="22"/>
              </w:rPr>
            </w:pPr>
            <w:r>
              <w:rPr>
                <w:rFonts w:hint="eastAsia"/>
                <w:sz w:val="22"/>
              </w:rPr>
              <w:t>26</w:t>
            </w:r>
          </w:p>
        </w:tc>
        <w:tc>
          <w:tcPr>
            <w:tcW w:w="2126" w:type="dxa"/>
            <w:vAlign w:val="top"/>
          </w:tcPr>
          <w:p>
            <w:pPr>
              <w:rPr>
                <w:rFonts w:ascii="宋体" w:hAnsi="宋体" w:eastAsia="宋体" w:cs="宋体"/>
                <w:sz w:val="22"/>
              </w:rPr>
            </w:pPr>
            <w:r>
              <w:rPr>
                <w:rFonts w:hint="eastAsia"/>
                <w:sz w:val="22"/>
              </w:rPr>
              <w:t>中建通〔2012〕112号</w:t>
            </w:r>
          </w:p>
        </w:tc>
        <w:tc>
          <w:tcPr>
            <w:tcW w:w="5670" w:type="dxa"/>
            <w:vAlign w:val="top"/>
          </w:tcPr>
          <w:p>
            <w:pPr>
              <w:rPr>
                <w:rFonts w:ascii="宋体" w:hAnsi="宋体" w:eastAsia="宋体" w:cs="宋体"/>
                <w:color w:val="000000"/>
                <w:sz w:val="22"/>
              </w:rPr>
            </w:pPr>
            <w:r>
              <w:rPr>
                <w:rFonts w:hint="eastAsia"/>
                <w:color w:val="000000"/>
                <w:sz w:val="22"/>
              </w:rPr>
              <w:t>关于公布《中山市预拌混凝土及预拌砂浆 “十二五”发展规划》的通知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59" w:type="dxa"/>
            <w:vAlign w:val="center"/>
          </w:tcPr>
          <w:p>
            <w:pPr>
              <w:jc w:val="center"/>
              <w:rPr>
                <w:sz w:val="22"/>
              </w:rPr>
            </w:pPr>
            <w:r>
              <w:rPr>
                <w:rFonts w:hint="eastAsia"/>
                <w:sz w:val="22"/>
              </w:rPr>
              <w:t>27</w:t>
            </w:r>
          </w:p>
        </w:tc>
        <w:tc>
          <w:tcPr>
            <w:tcW w:w="2126" w:type="dxa"/>
            <w:vAlign w:val="top"/>
          </w:tcPr>
          <w:p>
            <w:pPr>
              <w:rPr>
                <w:rFonts w:ascii="宋体" w:hAnsi="宋体" w:eastAsia="宋体" w:cs="宋体"/>
                <w:sz w:val="22"/>
              </w:rPr>
            </w:pPr>
            <w:r>
              <w:rPr>
                <w:rFonts w:hint="eastAsia"/>
                <w:sz w:val="22"/>
              </w:rPr>
              <w:t>中建通〔2012〕86号</w:t>
            </w:r>
          </w:p>
        </w:tc>
        <w:tc>
          <w:tcPr>
            <w:tcW w:w="5670" w:type="dxa"/>
            <w:vAlign w:val="top"/>
          </w:tcPr>
          <w:p>
            <w:pPr>
              <w:rPr>
                <w:rFonts w:ascii="宋体" w:hAnsi="宋体" w:eastAsia="宋体" w:cs="宋体"/>
                <w:color w:val="000000"/>
                <w:sz w:val="22"/>
              </w:rPr>
            </w:pPr>
            <w:r>
              <w:rPr>
                <w:rFonts w:hint="eastAsia"/>
                <w:color w:val="000000"/>
                <w:sz w:val="22"/>
              </w:rPr>
              <w:t>关于加强对中山市预拌混凝土和混凝土预制构件管桩生产企业监管的通知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59" w:type="dxa"/>
            <w:vAlign w:val="center"/>
          </w:tcPr>
          <w:p>
            <w:pPr>
              <w:jc w:val="center"/>
              <w:rPr>
                <w:sz w:val="22"/>
              </w:rPr>
            </w:pPr>
            <w:r>
              <w:rPr>
                <w:rFonts w:hint="eastAsia"/>
                <w:sz w:val="22"/>
              </w:rPr>
              <w:t>28</w:t>
            </w:r>
          </w:p>
        </w:tc>
        <w:tc>
          <w:tcPr>
            <w:tcW w:w="2126" w:type="dxa"/>
            <w:vAlign w:val="top"/>
          </w:tcPr>
          <w:p>
            <w:pPr>
              <w:rPr>
                <w:rFonts w:ascii="宋体" w:hAnsi="宋体" w:eastAsia="宋体" w:cs="宋体"/>
                <w:sz w:val="22"/>
              </w:rPr>
            </w:pPr>
            <w:r>
              <w:rPr>
                <w:rFonts w:hint="eastAsia"/>
                <w:sz w:val="22"/>
              </w:rPr>
              <w:t>中建通〔2012〕8号</w:t>
            </w:r>
          </w:p>
        </w:tc>
        <w:tc>
          <w:tcPr>
            <w:tcW w:w="5670" w:type="dxa"/>
            <w:vAlign w:val="top"/>
          </w:tcPr>
          <w:p>
            <w:pPr>
              <w:rPr>
                <w:rFonts w:ascii="宋体" w:hAnsi="宋体" w:eastAsia="宋体" w:cs="宋体"/>
                <w:color w:val="000000"/>
                <w:sz w:val="22"/>
              </w:rPr>
            </w:pPr>
            <w:r>
              <w:rPr>
                <w:rFonts w:hint="eastAsia"/>
                <w:color w:val="000000"/>
                <w:sz w:val="22"/>
              </w:rPr>
              <w:t>关于试行中山市房屋建筑和市政基础设施工程电子招标投标的通知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59" w:type="dxa"/>
            <w:vAlign w:val="center"/>
          </w:tcPr>
          <w:p>
            <w:pPr>
              <w:jc w:val="center"/>
              <w:rPr>
                <w:sz w:val="22"/>
              </w:rPr>
            </w:pPr>
            <w:r>
              <w:rPr>
                <w:rFonts w:hint="eastAsia"/>
                <w:sz w:val="22"/>
              </w:rPr>
              <w:t>29</w:t>
            </w:r>
          </w:p>
        </w:tc>
        <w:tc>
          <w:tcPr>
            <w:tcW w:w="2126" w:type="dxa"/>
            <w:vAlign w:val="top"/>
          </w:tcPr>
          <w:p>
            <w:pPr>
              <w:rPr>
                <w:rFonts w:ascii="宋体" w:hAnsi="宋体" w:eastAsia="宋体" w:cs="宋体"/>
                <w:sz w:val="22"/>
              </w:rPr>
            </w:pPr>
            <w:r>
              <w:rPr>
                <w:rFonts w:hint="eastAsia"/>
                <w:sz w:val="22"/>
              </w:rPr>
              <w:t>中建通〔2013〕116号</w:t>
            </w:r>
          </w:p>
        </w:tc>
        <w:tc>
          <w:tcPr>
            <w:tcW w:w="5670" w:type="dxa"/>
            <w:vAlign w:val="top"/>
          </w:tcPr>
          <w:p>
            <w:pPr>
              <w:rPr>
                <w:rFonts w:ascii="宋体" w:hAnsi="宋体" w:eastAsia="宋体" w:cs="宋体"/>
                <w:color w:val="000000"/>
                <w:sz w:val="22"/>
              </w:rPr>
            </w:pPr>
            <w:r>
              <w:rPr>
                <w:rFonts w:hint="eastAsia"/>
                <w:color w:val="000000"/>
                <w:sz w:val="22"/>
              </w:rPr>
              <w:t>关于明确我市行政区域范围内的建设工程征收散装水泥专项基金的通知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59" w:type="dxa"/>
            <w:vAlign w:val="center"/>
          </w:tcPr>
          <w:p>
            <w:pPr>
              <w:jc w:val="center"/>
              <w:rPr>
                <w:sz w:val="22"/>
              </w:rPr>
            </w:pPr>
            <w:r>
              <w:rPr>
                <w:rFonts w:hint="eastAsia"/>
                <w:sz w:val="22"/>
              </w:rPr>
              <w:t>30</w:t>
            </w:r>
          </w:p>
        </w:tc>
        <w:tc>
          <w:tcPr>
            <w:tcW w:w="2126" w:type="dxa"/>
            <w:vAlign w:val="top"/>
          </w:tcPr>
          <w:p>
            <w:pPr>
              <w:rPr>
                <w:rFonts w:ascii="宋体" w:hAnsi="宋体" w:eastAsia="宋体" w:cs="宋体"/>
                <w:sz w:val="22"/>
              </w:rPr>
            </w:pPr>
            <w:r>
              <w:rPr>
                <w:rFonts w:hint="eastAsia"/>
                <w:sz w:val="22"/>
              </w:rPr>
              <w:t>中建通〔2013〕17号</w:t>
            </w:r>
          </w:p>
        </w:tc>
        <w:tc>
          <w:tcPr>
            <w:tcW w:w="5670" w:type="dxa"/>
            <w:vAlign w:val="top"/>
          </w:tcPr>
          <w:p>
            <w:pPr>
              <w:rPr>
                <w:rFonts w:ascii="宋体" w:hAnsi="宋体" w:eastAsia="宋体" w:cs="宋体"/>
                <w:color w:val="000000"/>
                <w:sz w:val="22"/>
              </w:rPr>
            </w:pPr>
            <w:r>
              <w:rPr>
                <w:rFonts w:hint="eastAsia"/>
                <w:color w:val="000000"/>
                <w:sz w:val="22"/>
              </w:rPr>
              <w:t>关于中山市建设工程施工招标投标报价合理性评审暂行办法的通知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59" w:type="dxa"/>
            <w:vAlign w:val="center"/>
          </w:tcPr>
          <w:p>
            <w:pPr>
              <w:jc w:val="center"/>
              <w:rPr>
                <w:sz w:val="22"/>
              </w:rPr>
            </w:pPr>
            <w:r>
              <w:rPr>
                <w:rFonts w:hint="eastAsia"/>
                <w:sz w:val="22"/>
              </w:rPr>
              <w:t>31</w:t>
            </w:r>
          </w:p>
        </w:tc>
        <w:tc>
          <w:tcPr>
            <w:tcW w:w="2126" w:type="dxa"/>
            <w:vAlign w:val="top"/>
          </w:tcPr>
          <w:p>
            <w:pPr>
              <w:rPr>
                <w:rFonts w:ascii="宋体" w:hAnsi="宋体" w:eastAsia="宋体" w:cs="宋体"/>
                <w:sz w:val="22"/>
              </w:rPr>
            </w:pPr>
            <w:r>
              <w:rPr>
                <w:rFonts w:hint="eastAsia"/>
                <w:sz w:val="22"/>
              </w:rPr>
              <w:t>中建通〔2013〕22号</w:t>
            </w:r>
          </w:p>
        </w:tc>
        <w:tc>
          <w:tcPr>
            <w:tcW w:w="5670" w:type="dxa"/>
            <w:vAlign w:val="top"/>
          </w:tcPr>
          <w:p>
            <w:pPr>
              <w:rPr>
                <w:rFonts w:ascii="宋体" w:hAnsi="宋体" w:eastAsia="宋体" w:cs="宋体"/>
                <w:color w:val="000000"/>
                <w:sz w:val="22"/>
              </w:rPr>
            </w:pPr>
            <w:r>
              <w:rPr>
                <w:rFonts w:hint="eastAsia"/>
                <w:color w:val="000000"/>
                <w:sz w:val="22"/>
              </w:rPr>
              <w:t>关于印发进一步加强中山市排水管理的通知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59" w:type="dxa"/>
            <w:vAlign w:val="center"/>
          </w:tcPr>
          <w:p>
            <w:pPr>
              <w:jc w:val="center"/>
              <w:rPr>
                <w:sz w:val="22"/>
              </w:rPr>
            </w:pPr>
            <w:r>
              <w:rPr>
                <w:rFonts w:hint="eastAsia"/>
                <w:sz w:val="22"/>
              </w:rPr>
              <w:t>32</w:t>
            </w:r>
          </w:p>
        </w:tc>
        <w:tc>
          <w:tcPr>
            <w:tcW w:w="2126" w:type="dxa"/>
            <w:vAlign w:val="top"/>
          </w:tcPr>
          <w:p>
            <w:pPr>
              <w:rPr>
                <w:rFonts w:ascii="宋体" w:hAnsi="宋体" w:eastAsia="宋体" w:cs="宋体"/>
                <w:sz w:val="22"/>
              </w:rPr>
            </w:pPr>
            <w:r>
              <w:rPr>
                <w:rFonts w:hint="eastAsia"/>
                <w:sz w:val="22"/>
              </w:rPr>
              <w:t>中建通〔2013〕5号</w:t>
            </w:r>
          </w:p>
        </w:tc>
        <w:tc>
          <w:tcPr>
            <w:tcW w:w="5670" w:type="dxa"/>
            <w:vAlign w:val="top"/>
          </w:tcPr>
          <w:p>
            <w:pPr>
              <w:rPr>
                <w:rFonts w:ascii="宋体" w:hAnsi="宋体" w:eastAsia="宋体" w:cs="宋体"/>
                <w:color w:val="000000"/>
                <w:sz w:val="22"/>
              </w:rPr>
            </w:pPr>
            <w:r>
              <w:rPr>
                <w:rFonts w:hint="eastAsia"/>
                <w:color w:val="000000"/>
                <w:sz w:val="22"/>
              </w:rPr>
              <w:t>关于印发《雨污分流工程文明施工管理规定（试行）》的通知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59" w:type="dxa"/>
            <w:vAlign w:val="center"/>
          </w:tcPr>
          <w:p>
            <w:pPr>
              <w:jc w:val="center"/>
              <w:rPr>
                <w:sz w:val="22"/>
              </w:rPr>
            </w:pPr>
            <w:r>
              <w:rPr>
                <w:rFonts w:hint="eastAsia"/>
                <w:sz w:val="22"/>
              </w:rPr>
              <w:t>33</w:t>
            </w:r>
          </w:p>
        </w:tc>
        <w:tc>
          <w:tcPr>
            <w:tcW w:w="2126" w:type="dxa"/>
            <w:vAlign w:val="top"/>
          </w:tcPr>
          <w:p>
            <w:pPr>
              <w:rPr>
                <w:rFonts w:ascii="宋体" w:hAnsi="宋体" w:eastAsia="宋体" w:cs="宋体"/>
                <w:sz w:val="22"/>
              </w:rPr>
            </w:pPr>
            <w:r>
              <w:rPr>
                <w:rFonts w:hint="eastAsia"/>
                <w:sz w:val="22"/>
              </w:rPr>
              <w:t>中建通[2014]57号</w:t>
            </w:r>
          </w:p>
        </w:tc>
        <w:tc>
          <w:tcPr>
            <w:tcW w:w="5670" w:type="dxa"/>
            <w:vAlign w:val="top"/>
          </w:tcPr>
          <w:p>
            <w:pPr>
              <w:rPr>
                <w:rFonts w:ascii="宋体" w:hAnsi="宋体" w:eastAsia="宋体" w:cs="宋体"/>
                <w:color w:val="000000"/>
                <w:sz w:val="22"/>
              </w:rPr>
            </w:pPr>
            <w:r>
              <w:rPr>
                <w:rFonts w:hint="eastAsia"/>
                <w:color w:val="000000"/>
                <w:sz w:val="22"/>
              </w:rPr>
              <w:t>《中山市住房和城乡建设局关于加强住宅维修资金收缴的补充通知》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59" w:type="dxa"/>
            <w:vAlign w:val="center"/>
          </w:tcPr>
          <w:p>
            <w:pPr>
              <w:jc w:val="center"/>
              <w:rPr>
                <w:sz w:val="22"/>
              </w:rPr>
            </w:pPr>
            <w:r>
              <w:rPr>
                <w:rFonts w:hint="eastAsia"/>
                <w:sz w:val="22"/>
              </w:rPr>
              <w:t>34</w:t>
            </w:r>
          </w:p>
        </w:tc>
        <w:tc>
          <w:tcPr>
            <w:tcW w:w="2126" w:type="dxa"/>
            <w:vAlign w:val="top"/>
          </w:tcPr>
          <w:p>
            <w:pPr>
              <w:rPr>
                <w:rFonts w:ascii="宋体" w:hAnsi="宋体" w:eastAsia="宋体" w:cs="宋体"/>
                <w:sz w:val="22"/>
              </w:rPr>
            </w:pPr>
            <w:r>
              <w:rPr>
                <w:rFonts w:hint="eastAsia"/>
                <w:sz w:val="22"/>
              </w:rPr>
              <w:t>中建通[2015]114号</w:t>
            </w:r>
          </w:p>
        </w:tc>
        <w:tc>
          <w:tcPr>
            <w:tcW w:w="5670" w:type="dxa"/>
            <w:vAlign w:val="top"/>
          </w:tcPr>
          <w:p>
            <w:pPr>
              <w:rPr>
                <w:rFonts w:ascii="宋体" w:hAnsi="宋体" w:eastAsia="宋体" w:cs="宋体"/>
                <w:color w:val="000000"/>
                <w:sz w:val="22"/>
              </w:rPr>
            </w:pPr>
            <w:r>
              <w:rPr>
                <w:rFonts w:hint="eastAsia"/>
                <w:color w:val="000000"/>
                <w:sz w:val="22"/>
              </w:rPr>
              <w:t>《关于增加广州银行作为我市住宅专项维修资金开户银行的通知》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59" w:type="dxa"/>
            <w:vAlign w:val="center"/>
          </w:tcPr>
          <w:p>
            <w:pPr>
              <w:jc w:val="center"/>
              <w:rPr>
                <w:sz w:val="22"/>
              </w:rPr>
            </w:pPr>
            <w:r>
              <w:rPr>
                <w:rFonts w:hint="eastAsia"/>
                <w:sz w:val="22"/>
              </w:rPr>
              <w:t>35</w:t>
            </w:r>
          </w:p>
        </w:tc>
        <w:tc>
          <w:tcPr>
            <w:tcW w:w="2126" w:type="dxa"/>
            <w:vAlign w:val="top"/>
          </w:tcPr>
          <w:p>
            <w:pPr>
              <w:rPr>
                <w:rFonts w:ascii="宋体" w:hAnsi="宋体" w:eastAsia="宋体" w:cs="宋体"/>
                <w:sz w:val="22"/>
              </w:rPr>
            </w:pPr>
            <w:r>
              <w:rPr>
                <w:rFonts w:hint="eastAsia"/>
                <w:sz w:val="22"/>
              </w:rPr>
              <w:t>中建通[2016]77号</w:t>
            </w:r>
          </w:p>
        </w:tc>
        <w:tc>
          <w:tcPr>
            <w:tcW w:w="5670" w:type="dxa"/>
            <w:vAlign w:val="top"/>
          </w:tcPr>
          <w:p>
            <w:pPr>
              <w:rPr>
                <w:rFonts w:ascii="宋体" w:hAnsi="宋体" w:eastAsia="宋体" w:cs="宋体"/>
                <w:color w:val="000000"/>
                <w:sz w:val="22"/>
              </w:rPr>
            </w:pPr>
            <w:r>
              <w:rPr>
                <w:rFonts w:hint="eastAsia"/>
                <w:color w:val="000000"/>
                <w:sz w:val="22"/>
              </w:rPr>
              <w:t>《关于增加中山农村商业银行、中国邮政储蓄银行中山分行作为我市住宅专项维修资金开户银行的通知》</w:t>
            </w:r>
          </w:p>
        </w:tc>
      </w:tr>
    </w:tbl>
    <w:p>
      <w:pPr>
        <w:rPr>
          <w:rFonts w:ascii="仿宋" w:hAnsi="仿宋" w:eastAsia="仿宋"/>
          <w:sz w:val="32"/>
          <w:szCs w:val="32"/>
        </w:rPr>
      </w:pPr>
    </w:p>
    <w:p>
      <w:pPr>
        <w:rPr>
          <w:rFonts w:ascii="仿宋" w:hAnsi="仿宋" w:eastAsia="仿宋"/>
          <w:sz w:val="32"/>
          <w:szCs w:val="32"/>
        </w:rPr>
      </w:pPr>
    </w:p>
    <w:tbl>
      <w:tblPr>
        <w:tblStyle w:val="8"/>
        <w:tblW w:w="85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2"/>
        <w:gridCol w:w="2268"/>
        <w:gridCol w:w="501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522" w:type="dxa"/>
            <w:gridSpan w:val="3"/>
            <w:vAlign w:val="top"/>
          </w:tcPr>
          <w:p>
            <w:pPr>
              <w:jc w:val="center"/>
              <w:rPr>
                <w:rFonts w:ascii="仿宋" w:hAnsi="仿宋" w:eastAsia="仿宋"/>
                <w:sz w:val="32"/>
                <w:szCs w:val="32"/>
              </w:rPr>
            </w:pPr>
            <w:r>
              <w:rPr>
                <w:rFonts w:hint="eastAsia" w:ascii="仿宋" w:hAnsi="仿宋" w:eastAsia="仿宋"/>
                <w:sz w:val="32"/>
                <w:szCs w:val="32"/>
              </w:rPr>
              <w:t>失效文件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vAlign w:val="top"/>
          </w:tcPr>
          <w:p>
            <w:pPr>
              <w:rPr>
                <w:rFonts w:ascii="仿宋" w:hAnsi="仿宋" w:eastAsia="仿宋"/>
                <w:sz w:val="32"/>
                <w:szCs w:val="32"/>
              </w:rPr>
            </w:pPr>
            <w:r>
              <w:rPr>
                <w:rFonts w:hint="eastAsia" w:ascii="仿宋" w:hAnsi="仿宋" w:eastAsia="仿宋"/>
                <w:sz w:val="32"/>
                <w:szCs w:val="32"/>
              </w:rPr>
              <w:t>序号</w:t>
            </w:r>
          </w:p>
        </w:tc>
        <w:tc>
          <w:tcPr>
            <w:tcW w:w="2268" w:type="dxa"/>
            <w:vAlign w:val="top"/>
          </w:tcPr>
          <w:p>
            <w:pPr>
              <w:rPr>
                <w:rFonts w:ascii="仿宋" w:hAnsi="仿宋" w:eastAsia="仿宋"/>
                <w:sz w:val="32"/>
                <w:szCs w:val="32"/>
              </w:rPr>
            </w:pPr>
            <w:r>
              <w:rPr>
                <w:rFonts w:hint="eastAsia" w:ascii="仿宋" w:hAnsi="仿宋" w:eastAsia="仿宋"/>
                <w:sz w:val="32"/>
                <w:szCs w:val="32"/>
              </w:rPr>
              <w:t>文号</w:t>
            </w:r>
          </w:p>
        </w:tc>
        <w:tc>
          <w:tcPr>
            <w:tcW w:w="5012" w:type="dxa"/>
            <w:vAlign w:val="top"/>
          </w:tcPr>
          <w:p>
            <w:pPr>
              <w:rPr>
                <w:rFonts w:ascii="仿宋" w:hAnsi="仿宋" w:eastAsia="仿宋"/>
                <w:sz w:val="32"/>
                <w:szCs w:val="32"/>
              </w:rPr>
            </w:pPr>
            <w:r>
              <w:rPr>
                <w:rFonts w:hint="eastAsia" w:ascii="仿宋" w:hAnsi="仿宋" w:eastAsia="仿宋"/>
                <w:sz w:val="32"/>
                <w:szCs w:val="32"/>
              </w:rPr>
              <w:t>标题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vAlign w:val="center"/>
          </w:tcPr>
          <w:p>
            <w:pPr>
              <w:jc w:val="center"/>
              <w:rPr>
                <w:color w:val="000000"/>
                <w:sz w:val="22"/>
              </w:rPr>
            </w:pPr>
            <w:r>
              <w:rPr>
                <w:rFonts w:hint="eastAsia"/>
                <w:color w:val="000000"/>
                <w:sz w:val="22"/>
              </w:rPr>
              <w:t>1</w:t>
            </w:r>
          </w:p>
        </w:tc>
        <w:tc>
          <w:tcPr>
            <w:tcW w:w="2268" w:type="dxa"/>
            <w:vAlign w:val="top"/>
          </w:tcPr>
          <w:p>
            <w:pPr>
              <w:rPr>
                <w:rFonts w:ascii="宋体" w:hAnsi="宋体" w:eastAsia="宋体" w:cs="宋体"/>
                <w:color w:val="000000"/>
                <w:sz w:val="22"/>
              </w:rPr>
            </w:pPr>
            <w:r>
              <w:rPr>
                <w:rFonts w:hint="eastAsia"/>
                <w:color w:val="000000"/>
                <w:sz w:val="22"/>
              </w:rPr>
              <w:t>中府〔1998〕59号</w:t>
            </w:r>
          </w:p>
        </w:tc>
        <w:tc>
          <w:tcPr>
            <w:tcW w:w="5012" w:type="dxa"/>
            <w:vAlign w:val="top"/>
          </w:tcPr>
          <w:p>
            <w:pPr>
              <w:rPr>
                <w:rFonts w:ascii="宋体" w:hAnsi="宋体" w:eastAsia="宋体" w:cs="宋体"/>
                <w:color w:val="000000"/>
                <w:sz w:val="22"/>
              </w:rPr>
            </w:pPr>
            <w:r>
              <w:rPr>
                <w:rFonts w:hint="eastAsia"/>
                <w:color w:val="000000"/>
                <w:sz w:val="22"/>
              </w:rPr>
              <w:t>颁发《中山市中心城区排水设施管理暂行规定》的通知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vAlign w:val="center"/>
          </w:tcPr>
          <w:p>
            <w:pPr>
              <w:jc w:val="center"/>
              <w:rPr>
                <w:color w:val="000000"/>
                <w:sz w:val="22"/>
              </w:rPr>
            </w:pPr>
            <w:r>
              <w:rPr>
                <w:rFonts w:hint="eastAsia"/>
                <w:color w:val="000000"/>
                <w:sz w:val="22"/>
              </w:rPr>
              <w:t>2</w:t>
            </w:r>
          </w:p>
        </w:tc>
        <w:tc>
          <w:tcPr>
            <w:tcW w:w="2268" w:type="dxa"/>
            <w:vAlign w:val="top"/>
          </w:tcPr>
          <w:p>
            <w:pPr>
              <w:rPr>
                <w:rFonts w:ascii="宋体" w:hAnsi="宋体" w:eastAsia="宋体" w:cs="宋体"/>
                <w:color w:val="000000"/>
                <w:sz w:val="22"/>
              </w:rPr>
            </w:pPr>
            <w:r>
              <w:rPr>
                <w:rFonts w:hint="eastAsia"/>
                <w:color w:val="000000"/>
                <w:sz w:val="22"/>
              </w:rPr>
              <w:t>中府办〔2011〕33号</w:t>
            </w:r>
          </w:p>
        </w:tc>
        <w:tc>
          <w:tcPr>
            <w:tcW w:w="5012" w:type="dxa"/>
            <w:vAlign w:val="top"/>
          </w:tcPr>
          <w:p>
            <w:pPr>
              <w:rPr>
                <w:rFonts w:ascii="宋体" w:hAnsi="宋体" w:eastAsia="宋体" w:cs="宋体"/>
                <w:color w:val="000000"/>
                <w:sz w:val="22"/>
              </w:rPr>
            </w:pPr>
            <w:r>
              <w:rPr>
                <w:rFonts w:hint="eastAsia"/>
                <w:color w:val="000000"/>
                <w:sz w:val="22"/>
              </w:rPr>
              <w:t>印发中山市城市排水管理办法的通知</w:t>
            </w:r>
          </w:p>
        </w:tc>
      </w:tr>
    </w:tbl>
    <w:p>
      <w:pPr>
        <w:ind w:firstLine="320" w:firstLineChars="100"/>
        <w:rPr>
          <w:rFonts w:ascii="仿宋" w:hAnsi="仿宋" w:eastAsia="仿宋"/>
          <w:sz w:val="32"/>
          <w:szCs w:val="32"/>
        </w:rPr>
      </w:pPr>
    </w:p>
    <w:sectPr>
      <w:headerReference r:id="rId4" w:type="default"/>
      <w:footerReference r:id="rId5" w:type="default"/>
      <w:pgSz w:w="11906" w:h="16838"/>
      <w:pgMar w:top="2098" w:right="1587" w:bottom="1720"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00002FF" w:usb1="4000ACFF" w:usb2="00000001" w:usb3="00000000" w:csb0="2000019F" w:csb1="00000000"/>
  </w:font>
  <w:font w:name="方正大标宋简体">
    <w:altName w:val="Arial Unicode MS"/>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pPr>
    <w:r>
      <w:rPr>
        <w:rFonts w:ascii="Calibri" w:hAnsi="Calibri" w:eastAsia="宋体" w:cs="Times New Roman"/>
        <w:kern w:val="2"/>
        <w:sz w:val="18"/>
        <w:szCs w:val="18"/>
        <w:lang w:val="en-US" w:eastAsia="zh-CN" w:bidi="ar-SA"/>
      </w:rPr>
      <w:pict>
        <v:shape id="文本框 3" o:spid="_x0000_s1025" type="#_x0000_t202" style="position:absolute;left:0;margin-top:0pt;height:144pt;width:144pt;mso-position-horizontal:outside;mso-position-horizontal-relative:margin;mso-wrap-style:none;rotation:0f;z-index:251658240;" o:ole="f" fillcolor="#FFFFFF" filled="f" o:preferrelative="t" stroked="f" coordorigin="0,0" coordsize="21600,21600">
          <v:fill on="f" color2="#FFFFFF" focus="0%"/>
          <v:imagedata gain="65536f" blacklevel="0f" gamma="0"/>
          <o:lock v:ext="edit" position="f" selection="f" grouping="f" rotation="f" cropping="f" text="f" aspectratio="f"/>
          <v:textbox inset="0.00pt,0.00pt,0.00pt,0.00pt"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- 1 -</w:t>
                </w:r>
                <w:r>
                  <w:rPr>
                    <w:rFonts w:hint="eastAsia"/>
                    <w:sz w:val="18"/>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F93D07"/>
    <w:rsid w:val="00205881"/>
    <w:rsid w:val="002E3016"/>
    <w:rsid w:val="00404A2F"/>
    <w:rsid w:val="00492185"/>
    <w:rsid w:val="005557BE"/>
    <w:rsid w:val="005D4584"/>
    <w:rsid w:val="0061364A"/>
    <w:rsid w:val="006A0AA8"/>
    <w:rsid w:val="006E138D"/>
    <w:rsid w:val="0078594D"/>
    <w:rsid w:val="009B3BCE"/>
    <w:rsid w:val="00A845F8"/>
    <w:rsid w:val="00B917F7"/>
    <w:rsid w:val="00B97805"/>
    <w:rsid w:val="00F65C71"/>
    <w:rsid w:val="00F93D07"/>
    <w:rsid w:val="0E2F2DE2"/>
    <w:rsid w:val="58892C16"/>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99" w:semiHidden="0" w:name="header"/>
    <w:lsdException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99"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unhideWhenUsed/>
    <w:uiPriority w:val="1"/>
  </w:style>
  <w:style w:type="table" w:default="1" w:styleId="7">
    <w:name w:val="Normal Table"/>
    <w:unhideWhenUsed/>
    <w:qFormat/>
    <w:uiPriority w:val="99"/>
    <w:tblPr>
      <w:tblStyle w:val="7"/>
      <w:tblLayout w:type="fixed"/>
      <w:tblCellMar>
        <w:top w:w="0" w:type="dxa"/>
        <w:left w:w="108" w:type="dxa"/>
        <w:bottom w:w="0" w:type="dxa"/>
        <w:right w:w="108" w:type="dxa"/>
      </w:tblCellMar>
    </w:tblPr>
    <w:tcPr>
      <w:textDirection w:val="lrTb"/>
    </w:tcPr>
  </w:style>
  <w:style w:type="paragraph" w:styleId="2">
    <w:name w:val="Date"/>
    <w:basedOn w:val="1"/>
    <w:next w:val="1"/>
    <w:link w:val="11"/>
    <w:unhideWhenUsed/>
    <w:uiPriority w:val="99"/>
    <w:pPr>
      <w:ind w:left="100" w:leftChars="2500"/>
    </w:p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character" w:styleId="6">
    <w:name w:val="page number"/>
    <w:basedOn w:val="5"/>
    <w:unhideWhenUsed/>
    <w:uiPriority w:val="0"/>
    <w:rPr/>
  </w:style>
  <w:style w:type="table" w:styleId="8">
    <w:name w:val="Table Grid"/>
    <w:basedOn w:val="7"/>
    <w:uiPriority w:val="59"/>
    <w:pPr/>
    <w:tblPr>
      <w:tblStyle w:val="7"/>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cPr>
      <w:textDirection w:val="lrTb"/>
    </w:tcPr>
  </w:style>
  <w:style w:type="character" w:customStyle="1" w:styleId="9">
    <w:name w:val="页眉 Char"/>
    <w:basedOn w:val="5"/>
    <w:link w:val="4"/>
    <w:semiHidden/>
    <w:uiPriority w:val="99"/>
    <w:rPr>
      <w:sz w:val="18"/>
      <w:szCs w:val="18"/>
    </w:rPr>
  </w:style>
  <w:style w:type="character" w:customStyle="1" w:styleId="10">
    <w:name w:val="页脚 Char"/>
    <w:basedOn w:val="5"/>
    <w:link w:val="3"/>
    <w:semiHidden/>
    <w:uiPriority w:val="99"/>
    <w:rPr>
      <w:sz w:val="18"/>
      <w:szCs w:val="18"/>
    </w:rPr>
  </w:style>
  <w:style w:type="character" w:customStyle="1" w:styleId="11">
    <w:name w:val="日期 Char"/>
    <w:basedOn w:val="5"/>
    <w:link w:val="2"/>
    <w:semiHidden/>
    <w:uiPriority w:val="99"/>
    <w:rPr/>
  </w:style>
</w:styles>
</file>

<file path=word/_rels/document.xml.rels><?xml version="1.0" encoding="UTF-8" standalone="yes"?>
<Relationships xmlns="http://schemas.openxmlformats.org/package/2006/relationships"><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Pages>
  <Words>274</Words>
  <Characters>1566</Characters>
  <Lines>13</Lines>
  <Paragraphs>3</Paragraphs>
  <ScaleCrop>false</ScaleCrop>
  <LinksUpToDate>false</LinksUpToDate>
  <CharactersWithSpaces>0</CharactersWithSpaces>
  <Application>WPS Office 专业版_9.1.0.5026_F1E327BC-269C-435d-A152-05C5408002CA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2017-12-15T01:32:00Z</dcterms:created>
  <dc:creator>微软用户</dc:creator>
  <cp:lastModifiedBy>MKL</cp:lastModifiedBy>
  <cp:lastPrinted>2017-12-15T08:18:00Z</cp:lastPrinted>
  <dcterms:modified xsi:type="dcterms:W3CDTF">2017-12-15T09:00:23Z</dcterms:modified>
  <dc:title>中建通〔2017〕141号</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2052-9.1.0.5026</vt:lpwstr>
  </property>
</Properties>
</file>